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89"/>
        <w:gridCol w:w="2214"/>
        <w:gridCol w:w="2079"/>
        <w:gridCol w:w="1068"/>
        <w:gridCol w:w="1323"/>
        <w:gridCol w:w="1615"/>
        <w:gridCol w:w="904"/>
        <w:gridCol w:w="1692"/>
        <w:gridCol w:w="1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1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i w:val="0"/>
                <w:iCs w:val="0"/>
                <w:color w:val="auto"/>
                <w:spacing w:val="9"/>
                <w:kern w:val="2"/>
                <w:sz w:val="36"/>
                <w:szCs w:val="36"/>
                <w:u w:val="none"/>
                <w:lang w:val="en-US" w:eastAsia="zh-CN" w:bidi="ar"/>
              </w:rPr>
              <w:t>广西医科大学公房移交单（新建成建筑移交）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建筑物名称</w:t>
            </w:r>
          </w:p>
        </w:tc>
        <w:tc>
          <w:tcPr>
            <w:tcW w:w="2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使用面积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钥匙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房屋状态</w:t>
            </w: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（毛坯/简装）</w:t>
            </w: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移交单位：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接收单位：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监交单位：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移交人：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接收人：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交接日期：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交接地点：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监交人：</w:t>
            </w:r>
          </w:p>
        </w:tc>
        <w:tc>
          <w:tcPr>
            <w:tcW w:w="4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41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注意事项：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移交单位在移交前务必将原房内的所有物品搬离，并做好室内清洁工作，无特殊原因房内不得留置资产。若确有不便移动搬迁的资产（如空调、壁扇、洗手台等），双方应在钥匙交接时逐件清点登记。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新建成建筑，如直接交给使用单位，国资处作为监交单位：表格一式3份，移交单位一份，接收单位一份，监交单位一份；如直接交给国资处，表格一式两份，移交单位一份，接收单位一份。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3.表格按房间逐间填写，如果房间数较多，可增行填写。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7CDC43-97DB-423B-BB8A-7715207C7607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3B3EC50-D263-497F-89FF-8A0AF30E2C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F3B096-6395-4801-8505-D47C86998CD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955F7"/>
    <w:multiLevelType w:val="singleLevel"/>
    <w:tmpl w:val="03F955F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GU3OTQzNWRjYWJlZjkyYjYwNTQ1MGZmMWIwNDEifQ=="/>
  </w:docVars>
  <w:rsids>
    <w:rsidRoot w:val="293741E1"/>
    <w:rsid w:val="2937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2024-01-22T08:49:00Z</dcterms:created>
  <dc:creator>国资处-刘霜</dc:creator>
  <cp:lastModifiedBy>国资处-刘霜</cp:lastModifiedBy>
  <dcterms:modified xsi:type="dcterms:W3CDTF">2024-01-22T08:50:29Z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714F5982241A40FC8A8B80651AAE25E8_11</vt:lpwstr>
  </property>
</Properties>
</file>